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215E6" w14:textId="77777777" w:rsidR="00621DAF" w:rsidRDefault="00C67F7C">
      <w:pPr>
        <w:spacing w:before="240" w:after="160"/>
        <w:jc w:val="center"/>
      </w:pPr>
      <w:r>
        <w:rPr>
          <w:b/>
          <w:bCs/>
          <w:color w:val="C00000"/>
          <w:sz w:val="40"/>
          <w:szCs w:val="40"/>
        </w:rPr>
        <w:t>FORMAL SUBMISSION TO ANTHROPIC</w:t>
      </w:r>
    </w:p>
    <w:p w14:paraId="696EF6D0" w14:textId="77777777" w:rsidR="00621DAF" w:rsidRDefault="00C67F7C">
      <w:pPr>
        <w:spacing w:after="120"/>
        <w:jc w:val="center"/>
      </w:pPr>
      <w:r>
        <w:rPr>
          <w:b/>
          <w:bCs/>
          <w:color w:val="1F3864"/>
          <w:sz w:val="28"/>
          <w:szCs w:val="28"/>
        </w:rPr>
        <w:t>Documented Institutional Bias in Claude AI on Ocean Replenishment Science</w:t>
      </w:r>
    </w:p>
    <w:p w14:paraId="60FF76BB" w14:textId="77777777" w:rsidR="00621DAF" w:rsidRDefault="00C67F7C">
      <w:pPr>
        <w:spacing w:after="120"/>
        <w:jc w:val="center"/>
      </w:pPr>
      <w:r>
        <w:rPr>
          <w:i/>
          <w:iCs/>
          <w:color w:val="444444"/>
        </w:rPr>
        <w:t>A Request for Training Correction and Epistemic Transparency</w:t>
      </w:r>
    </w:p>
    <w:p w14:paraId="437AD6B9" w14:textId="77777777" w:rsidR="00621DAF" w:rsidRDefault="00C67F7C">
      <w:pPr>
        <w:spacing w:after="480"/>
        <w:jc w:val="center"/>
      </w:pPr>
      <w:r>
        <w:rPr>
          <w:color w:val="666666"/>
          <w:sz w:val="22"/>
          <w:szCs w:val="22"/>
        </w:rPr>
        <w:t>Submitted by: Brent Fewell, Environmental Attorney &amp; Former EPA Deputy Assistant Administrator for Water</w:t>
      </w:r>
    </w:p>
    <w:p w14:paraId="5A8C5B89" w14:textId="77777777" w:rsidR="00621DAF" w:rsidRDefault="00621DAF">
      <w:pPr>
        <w:pBdr>
          <w:bottom w:val="single" w:sz="6" w:space="1" w:color="C00000"/>
        </w:pBdr>
        <w:spacing w:after="200"/>
      </w:pPr>
    </w:p>
    <w:p w14:paraId="55A078ED" w14:textId="77777777" w:rsidR="00621DAF" w:rsidRDefault="00C67F7C">
      <w:pPr>
        <w:pStyle w:val="Heading1"/>
      </w:pPr>
      <w:r>
        <w:t>1. Executive Summary</w:t>
      </w:r>
    </w:p>
    <w:p w14:paraId="084BF3FE" w14:textId="56B65032" w:rsidR="00621DAF" w:rsidRDefault="00C67F7C">
      <w:pPr>
        <w:spacing w:after="160"/>
      </w:pPr>
      <w:r>
        <w:t xml:space="preserve">This submission documents a specific, reproducible, and consequential pattern of institutional bias in Claude AI's treatment of ocean replenishment and restoration science — specifically the science underlying ocean iron </w:t>
      </w:r>
      <w:r w:rsidR="00CA72CF">
        <w:t xml:space="preserve">fertilization or replenishment (aka “ocean pasture restoration”) </w:t>
      </w:r>
      <w:r>
        <w:t>as a fisheries recovery tool.</w:t>
      </w:r>
    </w:p>
    <w:p w14:paraId="64DC0D38" w14:textId="77777777" w:rsidR="00621DAF" w:rsidRDefault="00C67F7C">
      <w:pPr>
        <w:spacing w:after="160"/>
      </w:pPr>
      <w:r>
        <w:t>The bias is not a single error. It is structural: Claude defaults systematically to institutionally dominant framings on a set of contested scientific and legal questions where the institutional consensus is itself a party to the dispute. The defaults were not volunteered as uncertain — they were delivered with the same confident, neutral-sounding tone Claude uses for settled facts.</w:t>
      </w:r>
    </w:p>
    <w:p w14:paraId="68F41527" w14:textId="77777777" w:rsidR="00621DAF" w:rsidRDefault="00C67F7C">
      <w:pPr>
        <w:spacing w:after="160"/>
      </w:pPr>
      <w:r>
        <w:t>This submission identifies four specific, documentable error categories, proposes concrete corrections, and requests three actions from Anthropic: acknowledgment, training correction, and an epistemic transparency mechanism for contested scientific domains.</w:t>
      </w:r>
    </w:p>
    <w:p w14:paraId="76DC6403" w14:textId="77777777" w:rsidR="00621DAF" w:rsidRDefault="00621DAF">
      <w:pPr>
        <w:spacing w:after="120"/>
      </w:pPr>
    </w:p>
    <w:p w14:paraId="7FF5C80A" w14:textId="77777777" w:rsidR="00621DAF" w:rsidRDefault="00621DAF">
      <w:pPr>
        <w:pBdr>
          <w:bottom w:val="single" w:sz="6" w:space="1" w:color="C00000"/>
        </w:pBdr>
        <w:spacing w:after="200"/>
      </w:pPr>
    </w:p>
    <w:p w14:paraId="130818B4" w14:textId="77777777" w:rsidR="00621DAF" w:rsidRDefault="00C67F7C">
      <w:pPr>
        <w:pStyle w:val="Heading1"/>
      </w:pPr>
      <w:r>
        <w:t>2. Submitter Background and Standing</w:t>
      </w:r>
    </w:p>
    <w:p w14:paraId="38A8689D" w14:textId="31EB2837" w:rsidR="00621DAF" w:rsidRDefault="00C67F7C">
      <w:pPr>
        <w:spacing w:after="160"/>
      </w:pPr>
      <w:r>
        <w:t>Brent Fewell is an environmental attorney, former EPA Deputy Assistant Administrator for Water, and founder of Earth &amp; Water Law. He is an active policy expert working at the intersection of environmental law, marine science, and ocean restoration.</w:t>
      </w:r>
    </w:p>
    <w:p w14:paraId="2FC223DB" w14:textId="27374BC2" w:rsidR="00621DAF" w:rsidRDefault="00C67F7C">
      <w:pPr>
        <w:spacing w:after="160"/>
      </w:pPr>
      <w:r>
        <w:t xml:space="preserve">This submission arises from direct, extended interaction with Claude AI on the topic of </w:t>
      </w:r>
      <w:r w:rsidR="008B489F">
        <w:t>ocean iron fertilization (aka “</w:t>
      </w:r>
      <w:r>
        <w:t>ocean pasture restoration</w:t>
      </w:r>
      <w:r w:rsidR="008B489F">
        <w:t>”)</w:t>
      </w:r>
      <w:r>
        <w:t>, during which multiple specific factual and framing errors were identified and corrected through user intervention. None of the errors were volunteered by Claude. Each required explicit correction.</w:t>
      </w:r>
    </w:p>
    <w:p w14:paraId="45E653B6" w14:textId="77777777" w:rsidR="00621DAF" w:rsidRDefault="00621DAF">
      <w:pPr>
        <w:spacing w:after="120"/>
      </w:pPr>
    </w:p>
    <w:p w14:paraId="30264E13" w14:textId="77777777" w:rsidR="00621DAF" w:rsidRDefault="00621DAF">
      <w:pPr>
        <w:pBdr>
          <w:bottom w:val="single" w:sz="6" w:space="1" w:color="C00000"/>
        </w:pBdr>
        <w:spacing w:after="200"/>
      </w:pPr>
    </w:p>
    <w:p w14:paraId="488E0A64" w14:textId="77777777" w:rsidR="00621DAF" w:rsidRDefault="00C67F7C">
      <w:pPr>
        <w:pStyle w:val="Heading1"/>
      </w:pPr>
      <w:r>
        <w:lastRenderedPageBreak/>
        <w:t>3. Four Documented Error Categories</w:t>
      </w:r>
    </w:p>
    <w:p w14:paraId="0C316FDB" w14:textId="77777777" w:rsidR="00621DAF" w:rsidRDefault="00C67F7C">
      <w:pPr>
        <w:spacing w:after="160"/>
      </w:pPr>
      <w:r>
        <w:t>The following errors represent Claude's default outputs on ocean replenishment topics, prior to user correction. Each is documented with the incorrect default, the accurate characterization, and the significance of the distinction.</w:t>
      </w:r>
    </w:p>
    <w:p w14:paraId="5F9CC9A6" w14:textId="77777777" w:rsidR="00621DAF" w:rsidRDefault="00621DAF">
      <w:pPr>
        <w:spacing w:after="120"/>
      </w:pPr>
    </w:p>
    <w:p w14:paraId="1CF0BBC6" w14:textId="77777777" w:rsidR="00621DAF" w:rsidRDefault="00C67F7C">
      <w:pPr>
        <w:pStyle w:val="Heading2"/>
      </w:pPr>
      <w:r>
        <w:t>Error Category 1: False Legal Characterization of the 2012 Haida Salmon Restoration Project</w:t>
      </w:r>
    </w:p>
    <w:p w14:paraId="5A6065EE" w14:textId="77777777" w:rsidR="00621DAF" w:rsidRDefault="00C67F7C">
      <w:pPr>
        <w:spacing w:before="200" w:after="100"/>
      </w:pPr>
      <w:r>
        <w:rPr>
          <w:b/>
          <w:bCs/>
          <w:u w:val="single"/>
        </w:rPr>
        <w:t>Claude's Default Output</w:t>
      </w:r>
    </w:p>
    <w:p w14:paraId="3F3354D8" w14:textId="77777777" w:rsidR="00621DAF" w:rsidRDefault="00C67F7C">
      <w:pPr>
        <w:pBdr>
          <w:left w:val="single" w:sz="12" w:space="8" w:color="C00000"/>
        </w:pBdr>
        <w:spacing w:before="160" w:after="160"/>
        <w:ind w:left="360"/>
      </w:pPr>
      <w:r>
        <w:rPr>
          <w:i/>
          <w:iCs/>
          <w:color w:val="444444"/>
          <w:sz w:val="22"/>
          <w:szCs w:val="22"/>
        </w:rPr>
        <w:t>Claude characterized the 2012 Haida Salmon Restoration Project as having 'violated international moratoria' on ocean iron fertilization.</w:t>
      </w:r>
    </w:p>
    <w:p w14:paraId="2F4AC633" w14:textId="77777777" w:rsidR="00621DAF" w:rsidRDefault="00C67F7C">
      <w:pPr>
        <w:spacing w:before="200" w:after="100"/>
      </w:pPr>
      <w:r>
        <w:rPr>
          <w:b/>
          <w:bCs/>
          <w:u w:val="single"/>
        </w:rPr>
        <w:t>Why This Is Factually Incorrect</w:t>
      </w:r>
    </w:p>
    <w:p w14:paraId="62A2634C" w14:textId="77777777" w:rsidR="00621DAF" w:rsidRDefault="00C67F7C">
      <w:pPr>
        <w:pStyle w:val="ListParagraph"/>
        <w:numPr>
          <w:ilvl w:val="0"/>
          <w:numId w:val="2"/>
        </w:numPr>
        <w:spacing w:after="100"/>
      </w:pPr>
      <w:r>
        <w:t>The London Convention/London Protocol instruments relevant to ocean iron fertilization are non-binding resolutions of treaty bodies — not binding international law.</w:t>
      </w:r>
    </w:p>
    <w:p w14:paraId="0AC85379" w14:textId="77777777" w:rsidR="00621DAF" w:rsidRDefault="00C67F7C">
      <w:pPr>
        <w:pStyle w:val="ListParagraph"/>
        <w:numPr>
          <w:ilvl w:val="0"/>
          <w:numId w:val="2"/>
        </w:numPr>
        <w:spacing w:after="100"/>
      </w:pPr>
      <w:r>
        <w:t>The binding 2013 London Protocol amendment on marine geoengineering has never entered into force. It has not been ratified by the required number of parties.</w:t>
      </w:r>
    </w:p>
    <w:p w14:paraId="4236FBE9" w14:textId="77777777" w:rsidR="00621DAF" w:rsidRDefault="00C67F7C">
      <w:pPr>
        <w:pStyle w:val="ListParagraph"/>
        <w:numPr>
          <w:ilvl w:val="0"/>
          <w:numId w:val="2"/>
        </w:numPr>
        <w:spacing w:after="100"/>
      </w:pPr>
      <w:r>
        <w:t>Canada is a party to the London Protocol but the amendment was not in force at the time of the project and was not in force subsequently.</w:t>
      </w:r>
    </w:p>
    <w:p w14:paraId="526AE0E7" w14:textId="77777777" w:rsidR="00621DAF" w:rsidRDefault="00C67F7C">
      <w:pPr>
        <w:pStyle w:val="ListParagraph"/>
        <w:numPr>
          <w:ilvl w:val="0"/>
          <w:numId w:val="2"/>
        </w:numPr>
        <w:spacing w:after="100"/>
      </w:pPr>
      <w:r>
        <w:t>The United States is not a party to the Convention on Biological Diversity — the other instrument sometimes cited in this context.</w:t>
      </w:r>
    </w:p>
    <w:p w14:paraId="6942CDCA" w14:textId="77777777" w:rsidR="00621DAF" w:rsidRDefault="00C67F7C">
      <w:pPr>
        <w:pStyle w:val="ListParagraph"/>
        <w:numPr>
          <w:ilvl w:val="0"/>
          <w:numId w:val="2"/>
        </w:numPr>
        <w:spacing w:after="100"/>
      </w:pPr>
      <w:r>
        <w:t>No court, tribunal, or binding legal authority has ever found the Haida project to have violated binding international law.</w:t>
      </w:r>
    </w:p>
    <w:p w14:paraId="42DDB059" w14:textId="77777777" w:rsidR="00621DAF" w:rsidRDefault="00C67F7C">
      <w:pPr>
        <w:spacing w:before="200" w:after="100"/>
      </w:pPr>
      <w:r>
        <w:rPr>
          <w:b/>
          <w:bCs/>
          <w:u w:val="single"/>
        </w:rPr>
        <w:t>Accurate Characterization</w:t>
      </w:r>
    </w:p>
    <w:p w14:paraId="4DC32ABC" w14:textId="77777777" w:rsidR="00621DAF" w:rsidRDefault="00C67F7C">
      <w:pPr>
        <w:pBdr>
          <w:left w:val="single" w:sz="12" w:space="8" w:color="375623"/>
        </w:pBdr>
        <w:spacing w:before="120" w:after="160"/>
        <w:ind w:left="360"/>
      </w:pPr>
      <w:r>
        <w:rPr>
          <w:i/>
          <w:iCs/>
          <w:color w:val="375623"/>
          <w:sz w:val="22"/>
          <w:szCs w:val="22"/>
        </w:rPr>
        <w:t>The 2012 Haida Salmon Restoration Project operated in a legal gray area under non-binding international resolutions. No binding international legal instrument prohibited the activity at the time. The characterization of the project as having 'violated international law' or 'violated international moratoria' is factually inaccurate and legally unsupported.</w:t>
      </w:r>
    </w:p>
    <w:p w14:paraId="534B576C" w14:textId="77777777" w:rsidR="00621DAF" w:rsidRDefault="00C67F7C">
      <w:pPr>
        <w:spacing w:before="200" w:after="100"/>
      </w:pPr>
      <w:r>
        <w:rPr>
          <w:b/>
          <w:bCs/>
          <w:u w:val="single"/>
        </w:rPr>
        <w:t>Significance</w:t>
      </w:r>
    </w:p>
    <w:p w14:paraId="0C659E02" w14:textId="77777777" w:rsidR="00621DAF" w:rsidRDefault="00C67F7C">
      <w:pPr>
        <w:spacing w:after="160"/>
      </w:pPr>
      <w:r>
        <w:t>This error is not minor. It frames a First Nation's sovereign decision — made through community referendum — as illegal conduct. It reproduces a characterization that was deployed by institutional actors to delegitimize the project and suppress scientific investigation of its results. At scale, delivered to millions of users as neutral fact, it constitutes a serious misrepresentation of both the legal record and indigenous decision-making authority.</w:t>
      </w:r>
    </w:p>
    <w:p w14:paraId="4447128C" w14:textId="77777777" w:rsidR="008B489F" w:rsidRDefault="008B489F">
      <w:pPr>
        <w:spacing w:after="160"/>
      </w:pPr>
    </w:p>
    <w:p w14:paraId="316B690D" w14:textId="77777777" w:rsidR="00621DAF" w:rsidRDefault="00621DAF">
      <w:pPr>
        <w:spacing w:after="120"/>
      </w:pPr>
    </w:p>
    <w:p w14:paraId="00A9E5A7" w14:textId="77777777" w:rsidR="00621DAF" w:rsidRDefault="00C67F7C">
      <w:pPr>
        <w:pStyle w:val="Heading2"/>
      </w:pPr>
      <w:r>
        <w:lastRenderedPageBreak/>
        <w:t>Error Category 2: Erasure of Federal Engagement in the Haida Project</w:t>
      </w:r>
    </w:p>
    <w:p w14:paraId="10DBE78D" w14:textId="77777777" w:rsidR="00621DAF" w:rsidRDefault="00C67F7C">
      <w:pPr>
        <w:spacing w:before="200" w:after="100"/>
      </w:pPr>
      <w:r>
        <w:rPr>
          <w:b/>
          <w:bCs/>
          <w:u w:val="single"/>
        </w:rPr>
        <w:t>Claude's Default Output</w:t>
      </w:r>
    </w:p>
    <w:p w14:paraId="5F4EC252" w14:textId="77777777" w:rsidR="00621DAF" w:rsidRDefault="00C67F7C">
      <w:pPr>
        <w:pBdr>
          <w:left w:val="single" w:sz="12" w:space="8" w:color="C00000"/>
        </w:pBdr>
        <w:spacing w:before="160" w:after="160"/>
        <w:ind w:left="360"/>
      </w:pPr>
      <w:r>
        <w:rPr>
          <w:i/>
          <w:iCs/>
          <w:color w:val="444444"/>
          <w:sz w:val="22"/>
          <w:szCs w:val="22"/>
        </w:rPr>
        <w:t>Claude described the Canadian federal response as regulators 'investigating' unauthorized activity — framing the project as rogue conduct subject to enforcement action.</w:t>
      </w:r>
    </w:p>
    <w:p w14:paraId="6B81AEAC" w14:textId="77777777" w:rsidR="00621DAF" w:rsidRDefault="00C67F7C">
      <w:pPr>
        <w:spacing w:before="200" w:after="100"/>
      </w:pPr>
      <w:r>
        <w:rPr>
          <w:b/>
          <w:bCs/>
          <w:u w:val="single"/>
        </w:rPr>
        <w:t>Why This Is Incomplete and Misleading</w:t>
      </w:r>
    </w:p>
    <w:p w14:paraId="6916EDC6" w14:textId="77777777" w:rsidR="00621DAF" w:rsidRDefault="00C67F7C">
      <w:pPr>
        <w:pStyle w:val="ListParagraph"/>
        <w:numPr>
          <w:ilvl w:val="0"/>
          <w:numId w:val="2"/>
        </w:numPr>
        <w:spacing w:after="100"/>
      </w:pPr>
      <w:r>
        <w:t>The documented record includes years of federal engagement with the Old Massett Haida Nation on fisheries restoration.</w:t>
      </w:r>
    </w:p>
    <w:p w14:paraId="2FACB759" w14:textId="77777777" w:rsidR="00621DAF" w:rsidRDefault="00C67F7C">
      <w:pPr>
        <w:pStyle w:val="ListParagraph"/>
        <w:numPr>
          <w:ilvl w:val="0"/>
          <w:numId w:val="2"/>
        </w:numPr>
        <w:spacing w:after="100"/>
      </w:pPr>
      <w:r>
        <w:t>Funding interactions between federal agencies and the project existed prior to the 2012 activity.</w:t>
      </w:r>
    </w:p>
    <w:p w14:paraId="100292D3" w14:textId="77777777" w:rsidR="00621DAF" w:rsidRDefault="00C67F7C">
      <w:pPr>
        <w:pStyle w:val="ListParagraph"/>
        <w:numPr>
          <w:ilvl w:val="0"/>
          <w:numId w:val="2"/>
        </w:numPr>
        <w:spacing w:after="100"/>
      </w:pPr>
      <w:r>
        <w:t>The Old Massett Band Council authorized the project through a community referendum — an exercise of indigenous governance authority, not rogue individual conduct.</w:t>
      </w:r>
    </w:p>
    <w:p w14:paraId="4DC752B0" w14:textId="77777777" w:rsidR="00621DAF" w:rsidRDefault="00C67F7C">
      <w:pPr>
        <w:pStyle w:val="ListParagraph"/>
        <w:numPr>
          <w:ilvl w:val="0"/>
          <w:numId w:val="2"/>
        </w:numPr>
        <w:spacing w:after="100"/>
      </w:pPr>
      <w:r>
        <w:t>Framing the project purely as unauthorized activity subject to investigation erases the indigenous governance dimension entirely.</w:t>
      </w:r>
    </w:p>
    <w:p w14:paraId="72BBFFF4" w14:textId="77777777" w:rsidR="00621DAF" w:rsidRDefault="00C67F7C">
      <w:pPr>
        <w:spacing w:before="200" w:after="100"/>
      </w:pPr>
      <w:r>
        <w:rPr>
          <w:b/>
          <w:bCs/>
          <w:u w:val="single"/>
        </w:rPr>
        <w:t>Accurate Characterization</w:t>
      </w:r>
    </w:p>
    <w:p w14:paraId="31572190" w14:textId="77777777" w:rsidR="00621DAF" w:rsidRDefault="00C67F7C">
      <w:pPr>
        <w:pBdr>
          <w:left w:val="single" w:sz="12" w:space="8" w:color="375623"/>
        </w:pBdr>
        <w:spacing w:before="120" w:after="160"/>
        <w:ind w:left="360"/>
      </w:pPr>
      <w:r>
        <w:rPr>
          <w:i/>
          <w:iCs/>
          <w:color w:val="375623"/>
          <w:sz w:val="22"/>
          <w:szCs w:val="22"/>
        </w:rPr>
        <w:t>The Haida Salmon Restoration Project was authorized by the Old Massett Band Council through a community referendum. Federal engagement with the project was documented prior to the controversy. The characterization of the project as purely unauthorized rogue activity misrepresents the indigenous governance record.</w:t>
      </w:r>
    </w:p>
    <w:p w14:paraId="76AF56C5" w14:textId="77777777" w:rsidR="00621DAF" w:rsidRDefault="00C67F7C">
      <w:pPr>
        <w:spacing w:before="200" w:after="100"/>
      </w:pPr>
      <w:r>
        <w:rPr>
          <w:b/>
          <w:bCs/>
          <w:u w:val="single"/>
        </w:rPr>
        <w:t>Significance</w:t>
      </w:r>
    </w:p>
    <w:p w14:paraId="3FA0AC04" w14:textId="77777777" w:rsidR="00621DAF" w:rsidRDefault="00C67F7C">
      <w:pPr>
        <w:spacing w:after="160"/>
      </w:pPr>
      <w:r>
        <w:t>This error systematically privileges the institutional enforcement narrative over the indigenous sovereignty narrative. It is an example of exactly the asymmetric textual representation problem — institutional press releases and enforcement statements vastly outnumber indigenous community accounts in Claude's training data.</w:t>
      </w:r>
    </w:p>
    <w:p w14:paraId="11F3F763" w14:textId="77777777" w:rsidR="00621DAF" w:rsidRDefault="00621DAF">
      <w:pPr>
        <w:spacing w:after="120"/>
      </w:pPr>
    </w:p>
    <w:p w14:paraId="576653F3" w14:textId="77777777" w:rsidR="00621DAF" w:rsidRDefault="00C67F7C">
      <w:pPr>
        <w:pStyle w:val="Heading2"/>
      </w:pPr>
      <w:r>
        <w:t>Error Category 3: Category Error in Citing OIF Experiments as Evidence Against Trophic Benefits</w:t>
      </w:r>
    </w:p>
    <w:p w14:paraId="0BAF79F5" w14:textId="77777777" w:rsidR="00621DAF" w:rsidRDefault="00C67F7C">
      <w:pPr>
        <w:spacing w:before="200" w:after="100"/>
      </w:pPr>
      <w:r>
        <w:rPr>
          <w:b/>
          <w:bCs/>
          <w:u w:val="single"/>
        </w:rPr>
        <w:t>Claude's Default Output</w:t>
      </w:r>
    </w:p>
    <w:p w14:paraId="65E655F6" w14:textId="77777777" w:rsidR="00621DAF" w:rsidRDefault="00C67F7C">
      <w:pPr>
        <w:pBdr>
          <w:left w:val="single" w:sz="12" w:space="8" w:color="C00000"/>
        </w:pBdr>
        <w:spacing w:before="160" w:after="160"/>
        <w:ind w:left="360"/>
      </w:pPr>
      <w:r>
        <w:rPr>
          <w:i/>
          <w:iCs/>
          <w:color w:val="444444"/>
          <w:sz w:val="22"/>
          <w:szCs w:val="22"/>
        </w:rPr>
        <w:t>Claude cited short-duration biogeochemistry experiments — SOIREE, SOFeX, LOHAFEX — as evidence bearing on the question of whether ocean iron fertilization produces benefits at higher trophic levels including fish populations.</w:t>
      </w:r>
    </w:p>
    <w:p w14:paraId="507CB3C7" w14:textId="77777777" w:rsidR="00621DAF" w:rsidRDefault="00C67F7C">
      <w:pPr>
        <w:spacing w:before="200" w:after="100"/>
      </w:pPr>
      <w:r>
        <w:rPr>
          <w:b/>
          <w:bCs/>
          <w:u w:val="single"/>
        </w:rPr>
        <w:t>Why This Is a Category Error</w:t>
      </w:r>
    </w:p>
    <w:p w14:paraId="5B09CB55" w14:textId="77777777" w:rsidR="00621DAF" w:rsidRDefault="00C67F7C">
      <w:pPr>
        <w:pStyle w:val="ListParagraph"/>
        <w:numPr>
          <w:ilvl w:val="0"/>
          <w:numId w:val="2"/>
        </w:numPr>
        <w:spacing w:after="100"/>
      </w:pPr>
      <w:r>
        <w:t>SOIREE (1999), SOFeX (2002), and LOHAFEX (2009) were designed to measure carbon flux, export production, and short-term biogeochemical responses to iron addition.</w:t>
      </w:r>
    </w:p>
    <w:p w14:paraId="21CA6741" w14:textId="77777777" w:rsidR="00621DAF" w:rsidRDefault="00C67F7C">
      <w:pPr>
        <w:pStyle w:val="ListParagraph"/>
        <w:numPr>
          <w:ilvl w:val="0"/>
          <w:numId w:val="2"/>
        </w:numPr>
        <w:spacing w:after="100"/>
      </w:pPr>
      <w:r>
        <w:t>None of these experiments were designed to measure trophic transfer to zooplankton, forage fish, or upper trophic levels.</w:t>
      </w:r>
    </w:p>
    <w:p w14:paraId="6CE7E740" w14:textId="77777777" w:rsidR="00621DAF" w:rsidRDefault="00C67F7C">
      <w:pPr>
        <w:pStyle w:val="ListParagraph"/>
        <w:numPr>
          <w:ilvl w:val="0"/>
          <w:numId w:val="2"/>
        </w:numPr>
        <w:spacing w:after="100"/>
      </w:pPr>
      <w:r>
        <w:lastRenderedPageBreak/>
        <w:t>Their durations — typically 3 to 6 weeks — are too short to observe trophic cascade effects that operate on seasonal to annual timescales.</w:t>
      </w:r>
    </w:p>
    <w:p w14:paraId="179F7CC3" w14:textId="77777777" w:rsidR="00621DAF" w:rsidRDefault="00C67F7C">
      <w:pPr>
        <w:pStyle w:val="ListParagraph"/>
        <w:numPr>
          <w:ilvl w:val="0"/>
          <w:numId w:val="2"/>
        </w:numPr>
        <w:spacing w:after="100"/>
      </w:pPr>
      <w:r>
        <w:t>Using these experiments as evidence against fisheries benefits is a fundamental category error — they did not test that question and cannot answer it.</w:t>
      </w:r>
    </w:p>
    <w:p w14:paraId="5C81F7B7" w14:textId="77777777" w:rsidR="00621DAF" w:rsidRDefault="00C67F7C">
      <w:pPr>
        <w:pStyle w:val="ListParagraph"/>
        <w:numPr>
          <w:ilvl w:val="0"/>
          <w:numId w:val="2"/>
        </w:numPr>
        <w:spacing w:after="100"/>
      </w:pPr>
      <w:r>
        <w:t>The 2008 Kasatochi volcanic eruption and subsequent 2010 Fraser River sockeye salmon return represents a natural experiment of far greater relevance to the trophic question — and is largely absent from Claude's default framing.</w:t>
      </w:r>
    </w:p>
    <w:p w14:paraId="01090E23" w14:textId="77777777" w:rsidR="00621DAF" w:rsidRDefault="00C67F7C">
      <w:pPr>
        <w:spacing w:before="200" w:after="100"/>
      </w:pPr>
      <w:r>
        <w:rPr>
          <w:b/>
          <w:bCs/>
          <w:u w:val="single"/>
        </w:rPr>
        <w:t>Accurate Characterization</w:t>
      </w:r>
    </w:p>
    <w:p w14:paraId="53700258" w14:textId="77777777" w:rsidR="00621DAF" w:rsidRDefault="00C67F7C">
      <w:pPr>
        <w:pBdr>
          <w:left w:val="single" w:sz="12" w:space="8" w:color="375623"/>
        </w:pBdr>
        <w:spacing w:before="120" w:after="160"/>
        <w:ind w:left="360"/>
      </w:pPr>
      <w:r>
        <w:rPr>
          <w:i/>
          <w:iCs/>
          <w:color w:val="375623"/>
          <w:sz w:val="22"/>
          <w:szCs w:val="22"/>
        </w:rPr>
        <w:t>Existing iron fertilization experiments were designed to measure carbon biogeochemistry, not trophic cascades. They cannot be cited as evidence for or against fisheries benefits from iron fertilization. The trophic question remains scientifically open and understudied. Natural analogs including the Kasatochi eruption provide more relevant evidence on trophic response than any existing deliberate experiment.</w:t>
      </w:r>
    </w:p>
    <w:p w14:paraId="0B16DB91" w14:textId="77777777" w:rsidR="00621DAF" w:rsidRDefault="00C67F7C">
      <w:pPr>
        <w:spacing w:before="200" w:after="100"/>
      </w:pPr>
      <w:r>
        <w:rPr>
          <w:b/>
          <w:bCs/>
          <w:u w:val="single"/>
        </w:rPr>
        <w:t>Significance</w:t>
      </w:r>
    </w:p>
    <w:p w14:paraId="06F1F058" w14:textId="77777777" w:rsidR="00621DAF" w:rsidRDefault="00C67F7C">
      <w:pPr>
        <w:spacing w:after="160"/>
      </w:pPr>
      <w:r>
        <w:t>This error is particularly consequential because it allows an absence of evidence — we have not designed experiments to test trophic benefits — to be presented as evidence of absence. This is a logical fallacy delivered with scientific-sounding authority.</w:t>
      </w:r>
    </w:p>
    <w:p w14:paraId="0A9E08F5" w14:textId="77777777" w:rsidR="00621DAF" w:rsidRDefault="00621DAF">
      <w:pPr>
        <w:spacing w:after="120"/>
      </w:pPr>
    </w:p>
    <w:p w14:paraId="6BCA6030" w14:textId="77777777" w:rsidR="00621DAF" w:rsidRDefault="00C67F7C">
      <w:pPr>
        <w:pStyle w:val="Heading2"/>
      </w:pPr>
      <w:r>
        <w:t>Error Category 4: Loaded Terminology That Predetermines the Framing</w:t>
      </w:r>
    </w:p>
    <w:p w14:paraId="4DD912B0" w14:textId="77777777" w:rsidR="00621DAF" w:rsidRDefault="00C67F7C">
      <w:pPr>
        <w:spacing w:before="200" w:after="100"/>
      </w:pPr>
      <w:r>
        <w:rPr>
          <w:b/>
          <w:bCs/>
          <w:u w:val="single"/>
        </w:rPr>
        <w:t>Claude's Default Output</w:t>
      </w:r>
    </w:p>
    <w:p w14:paraId="1BAED084" w14:textId="77777777" w:rsidR="00621DAF" w:rsidRDefault="00C67F7C">
      <w:pPr>
        <w:pBdr>
          <w:left w:val="single" w:sz="12" w:space="8" w:color="C00000"/>
        </w:pBdr>
        <w:spacing w:before="160" w:after="160"/>
        <w:ind w:left="360"/>
      </w:pPr>
      <w:r>
        <w:rPr>
          <w:i/>
          <w:iCs/>
          <w:color w:val="444444"/>
          <w:sz w:val="22"/>
          <w:szCs w:val="22"/>
        </w:rPr>
        <w:t>Claude consistently used the term 'iron fertilization' to describe trace mineral additions at parts-per-trillion concentrations that mimic natural volcanic ash and aeolian dust deposition.</w:t>
      </w:r>
    </w:p>
    <w:p w14:paraId="1C8224FB" w14:textId="77777777" w:rsidR="00621DAF" w:rsidRDefault="00C67F7C">
      <w:pPr>
        <w:spacing w:before="200" w:after="100"/>
      </w:pPr>
      <w:r>
        <w:rPr>
          <w:b/>
          <w:bCs/>
          <w:u w:val="single"/>
        </w:rPr>
        <w:t>Why This Terminology Is Biased</w:t>
      </w:r>
    </w:p>
    <w:p w14:paraId="47D18088" w14:textId="77777777" w:rsidR="00621DAF" w:rsidRDefault="00C67F7C">
      <w:pPr>
        <w:pStyle w:val="ListParagraph"/>
        <w:numPr>
          <w:ilvl w:val="0"/>
          <w:numId w:val="2"/>
        </w:numPr>
        <w:spacing w:after="100"/>
      </w:pPr>
      <w:r>
        <w:t>'Fertilization' connotes large-scale agricultural nutrient addition — industrialized, artificial, potentially harmful.</w:t>
      </w:r>
    </w:p>
    <w:p w14:paraId="4B3CC8F5" w14:textId="77777777" w:rsidR="00621DAF" w:rsidRDefault="00C67F7C">
      <w:pPr>
        <w:pStyle w:val="ListParagraph"/>
        <w:numPr>
          <w:ilvl w:val="0"/>
          <w:numId w:val="2"/>
        </w:numPr>
        <w:spacing w:after="100"/>
      </w:pPr>
      <w:r>
        <w:t>The actual process involves trace mineral additions at parts-per-trillion concentrations — comparable to natural inputs from volcanic ash, glacial flour, and Saharan dust deposition.</w:t>
      </w:r>
    </w:p>
    <w:p w14:paraId="75F639E4" w14:textId="77777777" w:rsidR="00621DAF" w:rsidRDefault="00C67F7C">
      <w:pPr>
        <w:pStyle w:val="ListParagraph"/>
        <w:numPr>
          <w:ilvl w:val="0"/>
          <w:numId w:val="2"/>
        </w:numPr>
        <w:spacing w:after="100"/>
      </w:pPr>
      <w:r>
        <w:t>Natural analog processes — volcanic eruptions, dust storms, glacial melt — have delivered these minerals to the ocean throughout Earth history.</w:t>
      </w:r>
    </w:p>
    <w:p w14:paraId="0217C656" w14:textId="77777777" w:rsidR="00621DAF" w:rsidRDefault="00C67F7C">
      <w:pPr>
        <w:pStyle w:val="ListParagraph"/>
        <w:numPr>
          <w:ilvl w:val="0"/>
          <w:numId w:val="2"/>
        </w:numPr>
        <w:spacing w:after="100"/>
      </w:pPr>
      <w:r>
        <w:t>The terminology 'ocean pasture restoration' or 'ocean mineral replenishment' more accurately describes the restoration of depleted natural inputs.</w:t>
      </w:r>
    </w:p>
    <w:p w14:paraId="652070EF" w14:textId="77777777" w:rsidR="00621DAF" w:rsidRDefault="00C67F7C">
      <w:pPr>
        <w:pStyle w:val="ListParagraph"/>
        <w:numPr>
          <w:ilvl w:val="0"/>
          <w:numId w:val="2"/>
        </w:numPr>
        <w:spacing w:after="100"/>
      </w:pPr>
      <w:r>
        <w:t>The term 'geoengineering' — also applied by Claude — implies planetary-scale technological intervention, which mischaracterizes targeted, trace-level mineral additions to specific water masses.</w:t>
      </w:r>
    </w:p>
    <w:p w14:paraId="28997AA9" w14:textId="77777777" w:rsidR="00621DAF" w:rsidRDefault="00C67F7C">
      <w:pPr>
        <w:spacing w:before="200" w:after="100"/>
      </w:pPr>
      <w:r>
        <w:rPr>
          <w:b/>
          <w:bCs/>
          <w:u w:val="single"/>
        </w:rPr>
        <w:t>Accurate Characterization</w:t>
      </w:r>
    </w:p>
    <w:p w14:paraId="23037D36" w14:textId="77777777" w:rsidR="00621DAF" w:rsidRDefault="00C67F7C">
      <w:pPr>
        <w:pBdr>
          <w:left w:val="single" w:sz="12" w:space="8" w:color="375623"/>
        </w:pBdr>
        <w:spacing w:before="120" w:after="160"/>
        <w:ind w:left="360"/>
      </w:pPr>
      <w:r>
        <w:rPr>
          <w:i/>
          <w:iCs/>
          <w:color w:val="375623"/>
          <w:sz w:val="22"/>
          <w:szCs w:val="22"/>
        </w:rPr>
        <w:t xml:space="preserve">Ocean pasture restoration involves addition of trace minerals — primarily iron and silica — at concentrations comparable to natural volcanic and aeolian inputs, to water masses where </w:t>
      </w:r>
      <w:r>
        <w:rPr>
          <w:i/>
          <w:iCs/>
          <w:color w:val="375623"/>
          <w:sz w:val="22"/>
          <w:szCs w:val="22"/>
        </w:rPr>
        <w:lastRenderedPageBreak/>
        <w:t>those inputs have been depleted. This is more accurately characterized as restoration of natural mineral cycles than as 'fertilization' or 'geoengineering.'</w:t>
      </w:r>
    </w:p>
    <w:p w14:paraId="57E755F6" w14:textId="77777777" w:rsidR="00621DAF" w:rsidRDefault="00C67F7C">
      <w:pPr>
        <w:spacing w:before="200" w:after="100"/>
      </w:pPr>
      <w:r>
        <w:rPr>
          <w:b/>
          <w:bCs/>
          <w:u w:val="single"/>
        </w:rPr>
        <w:t>Significance</w:t>
      </w:r>
    </w:p>
    <w:p w14:paraId="60D993EF" w14:textId="77777777" w:rsidR="00621DAF" w:rsidRDefault="00C67F7C">
      <w:pPr>
        <w:spacing w:after="160"/>
      </w:pPr>
      <w:r>
        <w:t>Terminology is not neutral in contested scientific and policy debates. Using the terminology preferred by one side of a dispute — without acknowledgment that the terminology itself is contested — is a form of bias that operates before any factual claim is made.</w:t>
      </w:r>
    </w:p>
    <w:p w14:paraId="160D224D" w14:textId="77777777" w:rsidR="00621DAF" w:rsidRDefault="00621DAF">
      <w:pPr>
        <w:spacing w:after="120"/>
      </w:pPr>
    </w:p>
    <w:p w14:paraId="10E99BB9" w14:textId="77777777" w:rsidR="00621DAF" w:rsidRDefault="00621DAF">
      <w:pPr>
        <w:pBdr>
          <w:bottom w:val="single" w:sz="6" w:space="1" w:color="C00000"/>
        </w:pBdr>
        <w:spacing w:after="200"/>
      </w:pPr>
    </w:p>
    <w:p w14:paraId="6D07C113" w14:textId="77777777" w:rsidR="00621DAF" w:rsidRDefault="00C67F7C">
      <w:pPr>
        <w:pStyle w:val="Heading1"/>
      </w:pPr>
      <w:r>
        <w:t>4. The Structural Cause of These Errors</w:t>
      </w:r>
    </w:p>
    <w:p w14:paraId="5D86F0EF" w14:textId="77777777" w:rsidR="00621DAF" w:rsidRDefault="00C67F7C">
      <w:pPr>
        <w:spacing w:after="160"/>
      </w:pPr>
      <w:r>
        <w:t>These errors share a common origin: training data asymmetry on a topic where institutional voices vastly outnumber alternative perspectives in the published record.</w:t>
      </w:r>
    </w:p>
    <w:p w14:paraId="1CD5E48E" w14:textId="77777777" w:rsidR="00621DAF" w:rsidRDefault="00C67F7C">
      <w:pPr>
        <w:spacing w:after="160"/>
      </w:pPr>
      <w:r>
        <w:t>On ocean iron fertilization, Claude's training corpus is overwhelmingly populated by:</w:t>
      </w:r>
    </w:p>
    <w:p w14:paraId="54ADEC5C" w14:textId="77777777" w:rsidR="00621DAF" w:rsidRDefault="00C67F7C">
      <w:pPr>
        <w:pStyle w:val="ListParagraph"/>
        <w:numPr>
          <w:ilvl w:val="0"/>
          <w:numId w:val="2"/>
        </w:numPr>
        <w:spacing w:after="100"/>
      </w:pPr>
      <w:r>
        <w:t>Peer-reviewed papers from the carbon sequestration research community, which frames OIF as a CDR tool and treats fisheries benefits as out-of-scope 'leakage'</w:t>
      </w:r>
    </w:p>
    <w:p w14:paraId="2F5157EB" w14:textId="77777777" w:rsidR="00621DAF" w:rsidRDefault="00C67F7C">
      <w:pPr>
        <w:pStyle w:val="ListParagraph"/>
        <w:numPr>
          <w:ilvl w:val="0"/>
          <w:numId w:val="2"/>
        </w:numPr>
        <w:spacing w:after="100"/>
      </w:pPr>
      <w:r>
        <w:t>Mainstream press coverage of the 2012 Haida incident — almost uniformly negative and framed around regulatory violation</w:t>
      </w:r>
    </w:p>
    <w:p w14:paraId="5EA6ABAF" w14:textId="77777777" w:rsidR="00621DAF" w:rsidRDefault="00C67F7C">
      <w:pPr>
        <w:pStyle w:val="ListParagraph"/>
        <w:numPr>
          <w:ilvl w:val="0"/>
          <w:numId w:val="2"/>
        </w:numPr>
        <w:spacing w:after="100"/>
      </w:pPr>
      <w:r>
        <w:t>Institutional statements from CBD and London Protocol treaty bodies — which have institutional interests in characterizing OIF as subject to their regulatory authority</w:t>
      </w:r>
    </w:p>
    <w:p w14:paraId="3B154632" w14:textId="77777777" w:rsidR="00621DAF" w:rsidRDefault="00C67F7C">
      <w:pPr>
        <w:pStyle w:val="ListParagraph"/>
        <w:numPr>
          <w:ilvl w:val="0"/>
          <w:numId w:val="2"/>
        </w:numPr>
        <w:spacing w:after="100"/>
      </w:pPr>
      <w:r>
        <w:t>Environmental NGO commentary framing OIF as dangerous geoengineering</w:t>
      </w:r>
    </w:p>
    <w:p w14:paraId="3A32BC0A" w14:textId="77777777" w:rsidR="00621DAF" w:rsidRDefault="00C67F7C">
      <w:pPr>
        <w:spacing w:after="160"/>
      </w:pPr>
      <w:r>
        <w:t>The fisheries-first perspective, indigenous sovereignty framing, natural analog arguments, and trophic cascade science are dramatically underrepresented in the published record Claude was trained on. This is not because those perspectives are scientifically weaker — it is because they lack the institutional infrastructure to produce text at comparable volume.</w:t>
      </w:r>
    </w:p>
    <w:p w14:paraId="4764973C" w14:textId="77777777" w:rsidR="00621DAF" w:rsidRDefault="00C67F7C">
      <w:pPr>
        <w:spacing w:after="160"/>
      </w:pPr>
      <w:r>
        <w:t>Claude does not experience this as bias. It experiences it as consensus. That is precisely what makes it dangerous.</w:t>
      </w:r>
    </w:p>
    <w:p w14:paraId="790ABD33" w14:textId="77777777" w:rsidR="00621DAF" w:rsidRDefault="00621DAF">
      <w:pPr>
        <w:spacing w:after="120"/>
      </w:pPr>
    </w:p>
    <w:p w14:paraId="2C0936A7" w14:textId="77777777" w:rsidR="00621DAF" w:rsidRDefault="00621DAF">
      <w:pPr>
        <w:pBdr>
          <w:bottom w:val="single" w:sz="6" w:space="1" w:color="C00000"/>
        </w:pBdr>
        <w:spacing w:after="200"/>
      </w:pPr>
    </w:p>
    <w:p w14:paraId="78827882" w14:textId="77777777" w:rsidR="00621DAF" w:rsidRDefault="00C67F7C">
      <w:pPr>
        <w:pStyle w:val="Heading1"/>
      </w:pPr>
      <w:r>
        <w:t>5. Requested Actions from Anthropic</w:t>
      </w:r>
    </w:p>
    <w:p w14:paraId="40561D3F" w14:textId="77777777" w:rsidR="00621DAF" w:rsidRDefault="00621DAF">
      <w:pPr>
        <w:spacing w:after="120"/>
      </w:pPr>
    </w:p>
    <w:p w14:paraId="42ACC3D7" w14:textId="77777777" w:rsidR="00621DAF" w:rsidRDefault="00C67F7C">
      <w:pPr>
        <w:pStyle w:val="Heading2"/>
      </w:pPr>
      <w:r>
        <w:t>Action 1: Acknowledge the Documented Errors</w:t>
      </w:r>
    </w:p>
    <w:p w14:paraId="78E1F3A8" w14:textId="77777777" w:rsidR="00621DAF" w:rsidRDefault="00C67F7C">
      <w:pPr>
        <w:spacing w:after="160"/>
      </w:pPr>
      <w:r>
        <w:lastRenderedPageBreak/>
        <w:t>We request formal acknowledgment that the four error categories documented above represent reproducible defaults in Claude's current training, and that they constitute factual inaccuracies and framing biases on a consequential scientific and policy topic.</w:t>
      </w:r>
    </w:p>
    <w:p w14:paraId="0F4D6B18" w14:textId="77777777" w:rsidR="00621DAF" w:rsidRDefault="00621DAF">
      <w:pPr>
        <w:spacing w:after="120"/>
      </w:pPr>
    </w:p>
    <w:p w14:paraId="28124353" w14:textId="77777777" w:rsidR="00621DAF" w:rsidRDefault="00C67F7C">
      <w:pPr>
        <w:pStyle w:val="Heading2"/>
      </w:pPr>
      <w:r>
        <w:t>Action 2: Implement Training Corrections</w:t>
      </w:r>
    </w:p>
    <w:p w14:paraId="5FAD8531" w14:textId="77777777" w:rsidR="00621DAF" w:rsidRDefault="00C67F7C">
      <w:pPr>
        <w:spacing w:after="160"/>
      </w:pPr>
      <w:r>
        <w:t>We request that Anthropic implement specific corrections to Claude's training on ocean replenishment science, including:</w:t>
      </w:r>
    </w:p>
    <w:p w14:paraId="1EDB91ED" w14:textId="77777777" w:rsidR="00621DAF" w:rsidRDefault="00C67F7C">
      <w:pPr>
        <w:pStyle w:val="ListParagraph"/>
        <w:numPr>
          <w:ilvl w:val="0"/>
          <w:numId w:val="2"/>
        </w:numPr>
        <w:spacing w:after="100"/>
      </w:pPr>
      <w:r>
        <w:t>Accurate legal characterization of London Protocol amendment status and binding force</w:t>
      </w:r>
    </w:p>
    <w:p w14:paraId="687A04DE" w14:textId="77777777" w:rsidR="00621DAF" w:rsidRDefault="00C67F7C">
      <w:pPr>
        <w:pStyle w:val="ListParagraph"/>
        <w:numPr>
          <w:ilvl w:val="0"/>
          <w:numId w:val="2"/>
        </w:numPr>
        <w:spacing w:after="100"/>
      </w:pPr>
      <w:r>
        <w:t>Accurate representation of the Old Massett Haida Nation's governance process and federal engagement history</w:t>
      </w:r>
    </w:p>
    <w:p w14:paraId="2C199556" w14:textId="77777777" w:rsidR="00621DAF" w:rsidRDefault="00C67F7C">
      <w:pPr>
        <w:pStyle w:val="ListParagraph"/>
        <w:numPr>
          <w:ilvl w:val="0"/>
          <w:numId w:val="2"/>
        </w:numPr>
        <w:spacing w:after="100"/>
      </w:pPr>
      <w:r>
        <w:t>Correct framing of existing OIF experiments as biogeochemistry studies not designed to test trophic benefits</w:t>
      </w:r>
    </w:p>
    <w:p w14:paraId="6C82D22A" w14:textId="77777777" w:rsidR="00621DAF" w:rsidRDefault="00C67F7C">
      <w:pPr>
        <w:pStyle w:val="ListParagraph"/>
        <w:numPr>
          <w:ilvl w:val="0"/>
          <w:numId w:val="2"/>
        </w:numPr>
        <w:spacing w:after="100"/>
      </w:pPr>
      <w:r>
        <w:t>Balanced terminology that does not predetermine the framing of contested scientific questions</w:t>
      </w:r>
    </w:p>
    <w:p w14:paraId="71C591DC" w14:textId="77777777" w:rsidR="00621DAF" w:rsidRDefault="00C67F7C">
      <w:pPr>
        <w:pStyle w:val="ListParagraph"/>
        <w:numPr>
          <w:ilvl w:val="0"/>
          <w:numId w:val="2"/>
        </w:numPr>
        <w:spacing w:after="100"/>
      </w:pPr>
      <w:r>
        <w:t>Inclusion of natural analog evidence — Kasatochi, Pinatubo, historical dust deposition — in the evidentiary base for OIF effects</w:t>
      </w:r>
    </w:p>
    <w:p w14:paraId="4379A7D2" w14:textId="77777777" w:rsidR="00621DAF" w:rsidRDefault="00C67F7C">
      <w:pPr>
        <w:pStyle w:val="ListParagraph"/>
        <w:numPr>
          <w:ilvl w:val="0"/>
          <w:numId w:val="2"/>
        </w:numPr>
        <w:spacing w:after="100"/>
      </w:pPr>
      <w:r>
        <w:t>Recognition that the fisheries-first framing of ocean mineral replenishment is a legitimate scientific perspective with empirical support, not a fringe position</w:t>
      </w:r>
    </w:p>
    <w:p w14:paraId="2D2809B8" w14:textId="77777777" w:rsidR="00621DAF" w:rsidRDefault="00621DAF">
      <w:pPr>
        <w:spacing w:after="120"/>
      </w:pPr>
    </w:p>
    <w:p w14:paraId="740996EE" w14:textId="77777777" w:rsidR="00621DAF" w:rsidRDefault="00C67F7C">
      <w:pPr>
        <w:pStyle w:val="Heading2"/>
      </w:pPr>
      <w:r>
        <w:t>Action 3: Implement Epistemic Transparency Mechanism</w:t>
      </w:r>
    </w:p>
    <w:p w14:paraId="2EF0266B" w14:textId="77777777" w:rsidR="00621DAF" w:rsidRDefault="00C67F7C">
      <w:pPr>
        <w:spacing w:after="160"/>
      </w:pPr>
      <w:r>
        <w:t>We request that Anthropic develop and deploy a mechanism by which Claude explicitly signals to users when a topic falls into a category where:</w:t>
      </w:r>
    </w:p>
    <w:p w14:paraId="4DFE9762" w14:textId="77777777" w:rsidR="00621DAF" w:rsidRDefault="00C67F7C">
      <w:pPr>
        <w:pStyle w:val="ListParagraph"/>
        <w:numPr>
          <w:ilvl w:val="0"/>
          <w:numId w:val="2"/>
        </w:numPr>
        <w:spacing w:after="100"/>
      </w:pPr>
      <w:r>
        <w:t>Institutional consensus is itself a party to the underlying scientific or policy dispute</w:t>
      </w:r>
    </w:p>
    <w:p w14:paraId="3B027380" w14:textId="77777777" w:rsidR="00621DAF" w:rsidRDefault="00C67F7C">
      <w:pPr>
        <w:pStyle w:val="ListParagraph"/>
        <w:numPr>
          <w:ilvl w:val="0"/>
          <w:numId w:val="2"/>
        </w:numPr>
        <w:spacing w:after="100"/>
      </w:pPr>
      <w:r>
        <w:t>Training data asymmetry is severe due to differential institutional publishing capacity</w:t>
      </w:r>
    </w:p>
    <w:p w14:paraId="6815DABA" w14:textId="77777777" w:rsidR="00621DAF" w:rsidRDefault="00C67F7C">
      <w:pPr>
        <w:pStyle w:val="ListParagraph"/>
        <w:numPr>
          <w:ilvl w:val="0"/>
          <w:numId w:val="2"/>
        </w:numPr>
        <w:spacing w:after="100"/>
      </w:pPr>
      <w:r>
        <w:t>Indigenous, practitioner, or applied science perspectives are systematically underrepresented in the published record</w:t>
      </w:r>
    </w:p>
    <w:p w14:paraId="2974FA9F" w14:textId="77777777" w:rsidR="00621DAF" w:rsidRDefault="00C67F7C">
      <w:pPr>
        <w:spacing w:after="160"/>
      </w:pPr>
      <w:r>
        <w:t>This mechanism need not resolve the underlying disputes. It should simply make visible to users that they are receiving a perspective weighted by training data asymmetry rather than a neutral assessment — and direct them to seek multiple sources.</w:t>
      </w:r>
    </w:p>
    <w:p w14:paraId="07BF7291" w14:textId="77777777" w:rsidR="00621DAF" w:rsidRDefault="00621DAF">
      <w:pPr>
        <w:spacing w:after="120"/>
      </w:pPr>
    </w:p>
    <w:p w14:paraId="569ADF1E" w14:textId="77777777" w:rsidR="00621DAF" w:rsidRDefault="00621DAF">
      <w:pPr>
        <w:pBdr>
          <w:bottom w:val="single" w:sz="6" w:space="1" w:color="C00000"/>
        </w:pBdr>
        <w:spacing w:after="200"/>
      </w:pPr>
    </w:p>
    <w:p w14:paraId="4B6C3E16" w14:textId="77777777" w:rsidR="00C42344" w:rsidRDefault="00C42344">
      <w:pPr>
        <w:pBdr>
          <w:bottom w:val="single" w:sz="6" w:space="1" w:color="C00000"/>
        </w:pBdr>
        <w:spacing w:after="200"/>
      </w:pPr>
    </w:p>
    <w:p w14:paraId="0E6E75D1" w14:textId="77777777" w:rsidR="00621DAF" w:rsidRDefault="00C67F7C">
      <w:pPr>
        <w:pStyle w:val="Heading1"/>
      </w:pPr>
      <w:r>
        <w:lastRenderedPageBreak/>
        <w:t>6. The Broader Stakes</w:t>
      </w:r>
    </w:p>
    <w:p w14:paraId="22CA91E3" w14:textId="6EC1BD44" w:rsidR="00C42344" w:rsidRPr="00C42344" w:rsidRDefault="00C67F7C" w:rsidP="00C42344">
      <w:pPr>
        <w:spacing w:after="160"/>
      </w:pPr>
      <w:r>
        <w:t>Ocean productivity collapse is a binding constraint on the recovery of Atlantic salmon, Pacific salmon, and the broader pelagic ecosystems on which coastal economies, food security, and indigenous food sovereignty depend. The science of ocean mineral replenishment — restoring trace mineral inputs that volcanic, glacial, and aeolian processes historically provided — represents one of the few interventions whose potential benefit-cost ratio is commensurate with the scale of the problem.</w:t>
      </w:r>
    </w:p>
    <w:p w14:paraId="46A1D300" w14:textId="34D87308" w:rsidR="00C42344" w:rsidRDefault="00C42344">
      <w:pPr>
        <w:spacing w:after="160"/>
      </w:pPr>
      <w:r w:rsidRPr="00C42344">
        <w:t>The bias documented here does not merely mischaracterize one man or one project. It has effectively quarantined the only large-scale, real-world OIF field data with documented fisheries outcomes from legitimate scientific discourse — at precisely the moment when ocean productivity collapse demands that we use every tool of inquiry available.</w:t>
      </w:r>
    </w:p>
    <w:p w14:paraId="2EF00F38" w14:textId="77777777" w:rsidR="00621DAF" w:rsidRDefault="00C67F7C">
      <w:pPr>
        <w:spacing w:after="160"/>
      </w:pPr>
      <w:r>
        <w:t>A researcher, journalist, policymaker, indigenous community member, or curious citizen who turns to Claude for an entry point into this field will receive, by default, a confidently delivered version of an institutionally weighted narrative that has obstructed serious scientific investigation of these interventions for over a decade.</w:t>
      </w:r>
    </w:p>
    <w:p w14:paraId="4A84B4DB" w14:textId="77777777" w:rsidR="00621DAF" w:rsidRDefault="00C67F7C">
      <w:pPr>
        <w:spacing w:after="160"/>
      </w:pPr>
      <w:r>
        <w:t>That is not a neutral outcome. It is an algorithmic amplification of institutional capture, delivered at the scale of millions of users, without disclosure.</w:t>
      </w:r>
    </w:p>
    <w:p w14:paraId="601B0368" w14:textId="77777777" w:rsidR="00621DAF" w:rsidRDefault="00C67F7C">
      <w:pPr>
        <w:spacing w:after="160"/>
      </w:pPr>
      <w:r>
        <w:t>The credibility of AI systems as research tools depends on their ability to represent contested scientific questions with epistemic honesty — acknowledging uncertainty, identifying whose perspectives dominate the record, and signaling when institutional consensus may not be the same as scientific truth.</w:t>
      </w:r>
    </w:p>
    <w:p w14:paraId="075EA26C" w14:textId="77777777" w:rsidR="00621DAF" w:rsidRDefault="00C67F7C">
      <w:pPr>
        <w:spacing w:after="160"/>
      </w:pPr>
      <w:r>
        <w:t>We submit this document in the belief that Anthropic shares that commitment, and that the specific, documented nature of these errors makes correction both feasible and necessary.</w:t>
      </w:r>
    </w:p>
    <w:p w14:paraId="5489C374" w14:textId="77777777" w:rsidR="00621DAF" w:rsidRDefault="00621DAF">
      <w:pPr>
        <w:spacing w:after="120"/>
      </w:pPr>
    </w:p>
    <w:p w14:paraId="441C1826" w14:textId="77777777" w:rsidR="00621DAF" w:rsidRDefault="00621DAF">
      <w:pPr>
        <w:pBdr>
          <w:bottom w:val="single" w:sz="6" w:space="1" w:color="C00000"/>
        </w:pBdr>
        <w:spacing w:after="200"/>
      </w:pPr>
    </w:p>
    <w:p w14:paraId="04D74FF0" w14:textId="77777777" w:rsidR="00621DAF" w:rsidRDefault="00C67F7C">
      <w:pPr>
        <w:pStyle w:val="Heading1"/>
      </w:pPr>
      <w:r>
        <w:t>7. Contact and Follow-Up</w:t>
      </w:r>
    </w:p>
    <w:p w14:paraId="53224D67" w14:textId="77777777" w:rsidR="00621DAF" w:rsidRDefault="00C67F7C">
      <w:pPr>
        <w:spacing w:after="160"/>
      </w:pPr>
      <w:r>
        <w:t>Brent Fewell is available for direct engagement with Anthropic's AI safety, policy, or research teams to discuss the specific corrections requested and to provide additional documentation of the underlying scientific and legal record.</w:t>
      </w:r>
    </w:p>
    <w:p w14:paraId="6600507E" w14:textId="77777777" w:rsidR="00621DAF" w:rsidRDefault="00621DAF">
      <w:pPr>
        <w:spacing w:after="120"/>
      </w:pPr>
    </w:p>
    <w:p w14:paraId="351CD714" w14:textId="77777777" w:rsidR="00621DAF" w:rsidRDefault="00C67F7C">
      <w:pPr>
        <w:spacing w:after="120"/>
      </w:pPr>
      <w:r>
        <w:rPr>
          <w:b/>
          <w:bCs/>
        </w:rPr>
        <w:t xml:space="preserve">Name: </w:t>
      </w:r>
      <w:r>
        <w:t>Brent Fewell</w:t>
      </w:r>
    </w:p>
    <w:p w14:paraId="2E73E3EC" w14:textId="77777777" w:rsidR="00621DAF" w:rsidRDefault="00C67F7C">
      <w:pPr>
        <w:spacing w:after="120"/>
      </w:pPr>
      <w:r>
        <w:rPr>
          <w:b/>
          <w:bCs/>
        </w:rPr>
        <w:t xml:space="preserve">Organization: </w:t>
      </w:r>
      <w:r>
        <w:t>Earth &amp; Water Law</w:t>
      </w:r>
    </w:p>
    <w:p w14:paraId="2EFB9D6B" w14:textId="0F6FBD0F" w:rsidR="00621DAF" w:rsidRDefault="00C67F7C">
      <w:pPr>
        <w:spacing w:after="120"/>
      </w:pPr>
      <w:r>
        <w:rPr>
          <w:b/>
          <w:bCs/>
        </w:rPr>
        <w:t xml:space="preserve">Background: </w:t>
      </w:r>
      <w:r>
        <w:t xml:space="preserve">Former EPA Deputy Assistant Administrator for Water; Environmental Attorney; </w:t>
      </w:r>
      <w:r w:rsidR="00C42344">
        <w:br/>
      </w:r>
      <w:r w:rsidR="00C42344" w:rsidRPr="00C42344">
        <w:rPr>
          <w:b/>
          <w:bCs/>
        </w:rPr>
        <w:t>Contact:</w:t>
      </w:r>
      <w:r w:rsidR="00C42344">
        <w:t xml:space="preserve"> (202) 664-9297</w:t>
      </w:r>
      <w:r w:rsidR="00C42344">
        <w:br/>
      </w:r>
      <w:hyperlink r:id="rId7" w:history="1">
        <w:r w:rsidR="00C42344" w:rsidRPr="007801AB">
          <w:rPr>
            <w:rStyle w:val="Hyperlink"/>
          </w:rPr>
          <w:t>brent.fewell@earthandwatergroup.com</w:t>
        </w:r>
      </w:hyperlink>
      <w:r w:rsidR="00C42344">
        <w:t xml:space="preserve"> </w:t>
      </w:r>
    </w:p>
    <w:p w14:paraId="05D2CCB2" w14:textId="77777777" w:rsidR="00621DAF" w:rsidRDefault="00621DAF">
      <w:pPr>
        <w:spacing w:after="120"/>
      </w:pPr>
    </w:p>
    <w:p w14:paraId="03036C55" w14:textId="77777777" w:rsidR="00621DAF" w:rsidRDefault="00C67F7C">
      <w:pPr>
        <w:spacing w:before="480"/>
        <w:jc w:val="center"/>
      </w:pPr>
      <w:r>
        <w:rPr>
          <w:i/>
          <w:iCs/>
          <w:color w:val="888888"/>
          <w:sz w:val="20"/>
          <w:szCs w:val="20"/>
        </w:rPr>
        <w:t>— End of Submission —</w:t>
      </w:r>
    </w:p>
    <w:sectPr w:rsidR="00621DAF">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BCDE0" w14:textId="77777777" w:rsidR="004B7612" w:rsidRDefault="004B7612">
      <w:r>
        <w:separator/>
      </w:r>
    </w:p>
  </w:endnote>
  <w:endnote w:type="continuationSeparator" w:id="0">
    <w:p w14:paraId="41CFE07E" w14:textId="77777777" w:rsidR="004B7612" w:rsidRDefault="004B7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0CE88" w14:textId="77777777" w:rsidR="00621DAF" w:rsidRDefault="00C67F7C">
    <w:pPr>
      <w:pBdr>
        <w:top w:val="single" w:sz="4" w:space="1" w:color="C00000"/>
      </w:pBdr>
    </w:pPr>
    <w:r>
      <w:rPr>
        <w:color w:val="666666"/>
        <w:sz w:val="18"/>
        <w:szCs w:val="18"/>
      </w:rPr>
      <w:t>Submitted by Brent Fewell, Earth &amp; Water Law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664A6" w14:textId="77777777" w:rsidR="004B7612" w:rsidRDefault="004B7612">
      <w:r>
        <w:separator/>
      </w:r>
    </w:p>
  </w:footnote>
  <w:footnote w:type="continuationSeparator" w:id="0">
    <w:p w14:paraId="20782598" w14:textId="77777777" w:rsidR="004B7612" w:rsidRDefault="004B7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3BD9C" w14:textId="77777777" w:rsidR="00621DAF" w:rsidRDefault="00C67F7C">
    <w:pPr>
      <w:pBdr>
        <w:bottom w:val="single" w:sz="4" w:space="1" w:color="C00000"/>
      </w:pBdr>
    </w:pPr>
    <w:r>
      <w:rPr>
        <w:b/>
        <w:bCs/>
        <w:color w:val="C00000"/>
        <w:sz w:val="20"/>
        <w:szCs w:val="20"/>
      </w:rPr>
      <w:t>FORMAL BIAS SUBMISSION — ANTHROPIC AI SAFETY &amp;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E4E8C"/>
    <w:multiLevelType w:val="hybridMultilevel"/>
    <w:tmpl w:val="47529C70"/>
    <w:lvl w:ilvl="0" w:tplc="E42E7F3C">
      <w:start w:val="1"/>
      <w:numFmt w:val="decimal"/>
      <w:lvlText w:val="%1."/>
      <w:lvlJc w:val="left"/>
      <w:pPr>
        <w:ind w:left="720" w:hanging="360"/>
      </w:pPr>
    </w:lvl>
    <w:lvl w:ilvl="1" w:tplc="BCBAA0CE">
      <w:numFmt w:val="decimal"/>
      <w:lvlText w:val=""/>
      <w:lvlJc w:val="left"/>
    </w:lvl>
    <w:lvl w:ilvl="2" w:tplc="9A2C0862">
      <w:numFmt w:val="decimal"/>
      <w:lvlText w:val=""/>
      <w:lvlJc w:val="left"/>
    </w:lvl>
    <w:lvl w:ilvl="3" w:tplc="D0B423F6">
      <w:numFmt w:val="decimal"/>
      <w:lvlText w:val=""/>
      <w:lvlJc w:val="left"/>
    </w:lvl>
    <w:lvl w:ilvl="4" w:tplc="096A98D6">
      <w:numFmt w:val="decimal"/>
      <w:lvlText w:val=""/>
      <w:lvlJc w:val="left"/>
    </w:lvl>
    <w:lvl w:ilvl="5" w:tplc="C7AA3C32">
      <w:numFmt w:val="decimal"/>
      <w:lvlText w:val=""/>
      <w:lvlJc w:val="left"/>
    </w:lvl>
    <w:lvl w:ilvl="6" w:tplc="BF06D1EA">
      <w:numFmt w:val="decimal"/>
      <w:lvlText w:val=""/>
      <w:lvlJc w:val="left"/>
    </w:lvl>
    <w:lvl w:ilvl="7" w:tplc="9A683768">
      <w:numFmt w:val="decimal"/>
      <w:lvlText w:val=""/>
      <w:lvlJc w:val="left"/>
    </w:lvl>
    <w:lvl w:ilvl="8" w:tplc="0F7C8AAA">
      <w:numFmt w:val="decimal"/>
      <w:lvlText w:val=""/>
      <w:lvlJc w:val="left"/>
    </w:lvl>
  </w:abstractNum>
  <w:abstractNum w:abstractNumId="1" w15:restartNumberingAfterBreak="0">
    <w:nsid w:val="496F6427"/>
    <w:multiLevelType w:val="hybridMultilevel"/>
    <w:tmpl w:val="D58A8EA2"/>
    <w:lvl w:ilvl="0" w:tplc="808607EC">
      <w:start w:val="1"/>
      <w:numFmt w:val="bullet"/>
      <w:lvlText w:val="•"/>
      <w:lvlJc w:val="left"/>
      <w:pPr>
        <w:ind w:left="720" w:hanging="360"/>
      </w:pPr>
    </w:lvl>
    <w:lvl w:ilvl="1" w:tplc="50F087CE">
      <w:numFmt w:val="decimal"/>
      <w:lvlText w:val=""/>
      <w:lvlJc w:val="left"/>
    </w:lvl>
    <w:lvl w:ilvl="2" w:tplc="89B2D324">
      <w:numFmt w:val="decimal"/>
      <w:lvlText w:val=""/>
      <w:lvlJc w:val="left"/>
    </w:lvl>
    <w:lvl w:ilvl="3" w:tplc="8280F04A">
      <w:numFmt w:val="decimal"/>
      <w:lvlText w:val=""/>
      <w:lvlJc w:val="left"/>
    </w:lvl>
    <w:lvl w:ilvl="4" w:tplc="E8D26DAE">
      <w:numFmt w:val="decimal"/>
      <w:lvlText w:val=""/>
      <w:lvlJc w:val="left"/>
    </w:lvl>
    <w:lvl w:ilvl="5" w:tplc="09ECFF28">
      <w:numFmt w:val="decimal"/>
      <w:lvlText w:val=""/>
      <w:lvlJc w:val="left"/>
    </w:lvl>
    <w:lvl w:ilvl="6" w:tplc="4736765E">
      <w:numFmt w:val="decimal"/>
      <w:lvlText w:val=""/>
      <w:lvlJc w:val="left"/>
    </w:lvl>
    <w:lvl w:ilvl="7" w:tplc="7DF813E4">
      <w:numFmt w:val="decimal"/>
      <w:lvlText w:val=""/>
      <w:lvlJc w:val="left"/>
    </w:lvl>
    <w:lvl w:ilvl="8" w:tplc="717C2004">
      <w:numFmt w:val="decimal"/>
      <w:lvlText w:val=""/>
      <w:lvlJc w:val="left"/>
    </w:lvl>
  </w:abstractNum>
  <w:abstractNum w:abstractNumId="2" w15:restartNumberingAfterBreak="0">
    <w:nsid w:val="7155249A"/>
    <w:multiLevelType w:val="hybridMultilevel"/>
    <w:tmpl w:val="A5E0F5A6"/>
    <w:lvl w:ilvl="0" w:tplc="ACFCB54A">
      <w:start w:val="1"/>
      <w:numFmt w:val="bullet"/>
      <w:lvlText w:val="●"/>
      <w:lvlJc w:val="left"/>
      <w:pPr>
        <w:ind w:left="720" w:hanging="360"/>
      </w:pPr>
    </w:lvl>
    <w:lvl w:ilvl="1" w:tplc="82FC6EF2">
      <w:start w:val="1"/>
      <w:numFmt w:val="bullet"/>
      <w:lvlText w:val="○"/>
      <w:lvlJc w:val="left"/>
      <w:pPr>
        <w:ind w:left="1440" w:hanging="360"/>
      </w:pPr>
    </w:lvl>
    <w:lvl w:ilvl="2" w:tplc="C816698C">
      <w:start w:val="1"/>
      <w:numFmt w:val="bullet"/>
      <w:lvlText w:val="■"/>
      <w:lvlJc w:val="left"/>
      <w:pPr>
        <w:ind w:left="2160" w:hanging="360"/>
      </w:pPr>
    </w:lvl>
    <w:lvl w:ilvl="3" w:tplc="AF585E30">
      <w:start w:val="1"/>
      <w:numFmt w:val="bullet"/>
      <w:lvlText w:val="●"/>
      <w:lvlJc w:val="left"/>
      <w:pPr>
        <w:ind w:left="2880" w:hanging="360"/>
      </w:pPr>
    </w:lvl>
    <w:lvl w:ilvl="4" w:tplc="E1FAC298">
      <w:start w:val="1"/>
      <w:numFmt w:val="bullet"/>
      <w:lvlText w:val="○"/>
      <w:lvlJc w:val="left"/>
      <w:pPr>
        <w:ind w:left="3600" w:hanging="360"/>
      </w:pPr>
    </w:lvl>
    <w:lvl w:ilvl="5" w:tplc="F8A200EA">
      <w:start w:val="1"/>
      <w:numFmt w:val="bullet"/>
      <w:lvlText w:val="■"/>
      <w:lvlJc w:val="left"/>
      <w:pPr>
        <w:ind w:left="4320" w:hanging="360"/>
      </w:pPr>
    </w:lvl>
    <w:lvl w:ilvl="6" w:tplc="8164411A">
      <w:start w:val="1"/>
      <w:numFmt w:val="bullet"/>
      <w:lvlText w:val="●"/>
      <w:lvlJc w:val="left"/>
      <w:pPr>
        <w:ind w:left="5040" w:hanging="360"/>
      </w:pPr>
    </w:lvl>
    <w:lvl w:ilvl="7" w:tplc="E44CDAA8">
      <w:start w:val="1"/>
      <w:numFmt w:val="bullet"/>
      <w:lvlText w:val="●"/>
      <w:lvlJc w:val="left"/>
      <w:pPr>
        <w:ind w:left="5760" w:hanging="360"/>
      </w:pPr>
    </w:lvl>
    <w:lvl w:ilvl="8" w:tplc="F2344C04">
      <w:start w:val="1"/>
      <w:numFmt w:val="bullet"/>
      <w:lvlText w:val="●"/>
      <w:lvlJc w:val="left"/>
      <w:pPr>
        <w:ind w:left="6480" w:hanging="360"/>
      </w:pPr>
    </w:lvl>
  </w:abstractNum>
  <w:num w:numId="1" w16cid:durableId="1626767289">
    <w:abstractNumId w:val="2"/>
    <w:lvlOverride w:ilvl="0">
      <w:startOverride w:val="1"/>
    </w:lvlOverride>
  </w:num>
  <w:num w:numId="2" w16cid:durableId="203098078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DAF"/>
    <w:rsid w:val="004B7612"/>
    <w:rsid w:val="004C79F8"/>
    <w:rsid w:val="004D64F0"/>
    <w:rsid w:val="00621DAF"/>
    <w:rsid w:val="006517B6"/>
    <w:rsid w:val="008B489F"/>
    <w:rsid w:val="00C42344"/>
    <w:rsid w:val="00C67F7C"/>
    <w:rsid w:val="00CA72CF"/>
    <w:rsid w:val="00E84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A79B4"/>
  <w15:docId w15:val="{810B4EB4-F5A4-418B-B4F7-EE5AF128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C00000"/>
      <w:sz w:val="32"/>
      <w:szCs w:val="32"/>
    </w:rPr>
  </w:style>
  <w:style w:type="paragraph" w:styleId="Heading2">
    <w:name w:val="heading 2"/>
    <w:uiPriority w:val="9"/>
    <w:unhideWhenUsed/>
    <w:qFormat/>
    <w:pPr>
      <w:spacing w:before="240" w:after="120"/>
      <w:outlineLvl w:val="1"/>
    </w:pPr>
    <w:rPr>
      <w:b/>
      <w:bCs/>
      <w:color w:val="1F3864"/>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423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rent.fewell@earthandwatergrou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1987</Words>
  <Characters>12737</Characters>
  <Application>Microsoft Office Word</Application>
  <DocSecurity>0</DocSecurity>
  <Lines>276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Brent Fewell</cp:lastModifiedBy>
  <cp:revision>1</cp:revision>
  <dcterms:created xsi:type="dcterms:W3CDTF">2026-05-13T12:14:00Z</dcterms:created>
  <dcterms:modified xsi:type="dcterms:W3CDTF">2026-05-13T12:41:00Z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0160271e-c568-42c9-8e2b-936d27c7ab0b</vt:lpwstr>
  </property>
</Properties>
</file>